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411" w:type="dxa"/>
        <w:tblInd w:w="6237" w:type="dxa"/>
        <w:tblLayout w:type="fixed"/>
        <w:tblLook w:val="0000" w:firstRow="0" w:lastRow="0" w:firstColumn="0" w:lastColumn="0" w:noHBand="0" w:noVBand="0"/>
      </w:tblPr>
      <w:tblGrid>
        <w:gridCol w:w="3411"/>
      </w:tblGrid>
      <w:tr w:rsidR="001A0571" w:rsidRPr="00456DE5" w:rsidTr="001A0571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71" w:rsidRPr="00456DE5" w:rsidRDefault="00B05F03" w:rsidP="00A82F83">
            <w:pPr>
              <w:pStyle w:val="ae"/>
              <w:spacing w:before="60" w:after="60"/>
              <w:ind w:left="-297" w:firstLine="297"/>
              <w:rPr>
                <w:szCs w:val="24"/>
                <w:lang w:val="en-US"/>
              </w:rPr>
            </w:pPr>
            <w:r w:rsidRPr="00456DE5">
              <w:rPr>
                <w:szCs w:val="24"/>
              </w:rPr>
              <w:t xml:space="preserve">Приложение  № </w:t>
            </w:r>
            <w:r w:rsidR="00A82F83" w:rsidRPr="00456DE5">
              <w:rPr>
                <w:szCs w:val="24"/>
              </w:rPr>
              <w:t>3</w:t>
            </w:r>
          </w:p>
        </w:tc>
      </w:tr>
      <w:tr w:rsidR="001A0571" w:rsidRPr="00456DE5" w:rsidTr="001A0571">
        <w:trPr>
          <w:trHeight w:val="398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71" w:rsidRPr="00456DE5" w:rsidRDefault="00B05F03" w:rsidP="001A0571">
            <w:pPr>
              <w:pStyle w:val="ae"/>
              <w:spacing w:before="60" w:after="60"/>
              <w:ind w:firstLine="0"/>
              <w:rPr>
                <w:szCs w:val="24"/>
              </w:rPr>
            </w:pPr>
            <w:bookmarkStart w:id="0" w:name="_GoBack"/>
            <w:r w:rsidRPr="00456DE5">
              <w:rPr>
                <w:szCs w:val="24"/>
              </w:rPr>
              <w:t>к письму</w:t>
            </w:r>
            <w:r w:rsidR="001A0571" w:rsidRPr="00456DE5">
              <w:rPr>
                <w:szCs w:val="24"/>
              </w:rPr>
              <w:t xml:space="preserve">  ФНС  России</w:t>
            </w:r>
          </w:p>
        </w:tc>
      </w:tr>
      <w:bookmarkEnd w:id="0"/>
      <w:tr w:rsidR="001A0571" w:rsidRPr="00456DE5" w:rsidTr="001A0571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71" w:rsidRPr="00456DE5" w:rsidRDefault="001A0571" w:rsidP="001A0571">
            <w:pPr>
              <w:pStyle w:val="ac"/>
              <w:spacing w:before="60" w:after="60"/>
              <w:ind w:firstLine="0"/>
            </w:pPr>
            <w:r w:rsidRPr="00456DE5">
              <w:t xml:space="preserve">от  «___» ______ 2018 г. </w:t>
            </w:r>
          </w:p>
        </w:tc>
      </w:tr>
      <w:tr w:rsidR="001A0571" w:rsidRPr="00456DE5" w:rsidTr="001A0571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71" w:rsidRPr="00456DE5" w:rsidRDefault="001A0571" w:rsidP="001A0571">
            <w:pPr>
              <w:pStyle w:val="ae"/>
              <w:spacing w:before="60" w:after="60"/>
              <w:ind w:firstLine="0"/>
              <w:rPr>
                <w:szCs w:val="24"/>
              </w:rPr>
            </w:pPr>
            <w:r w:rsidRPr="00456DE5">
              <w:rPr>
                <w:szCs w:val="24"/>
              </w:rPr>
              <w:t>№ _______</w:t>
            </w:r>
          </w:p>
        </w:tc>
      </w:tr>
    </w:tbl>
    <w:p w:rsidR="001A0571" w:rsidRPr="00456DE5" w:rsidRDefault="001A0571" w:rsidP="001A0571">
      <w:pPr>
        <w:pStyle w:val="14"/>
        <w:ind w:left="397" w:right="637"/>
        <w:rPr>
          <w:b/>
          <w:szCs w:val="28"/>
        </w:rPr>
      </w:pPr>
    </w:p>
    <w:p w:rsidR="001A0571" w:rsidRPr="00456DE5" w:rsidRDefault="001A0571" w:rsidP="001A0571">
      <w:pPr>
        <w:pStyle w:val="14"/>
        <w:ind w:left="397" w:right="637"/>
        <w:rPr>
          <w:b/>
          <w:szCs w:val="28"/>
        </w:rPr>
      </w:pPr>
    </w:p>
    <w:p w:rsidR="001A0571" w:rsidRPr="00456DE5" w:rsidRDefault="001A0571" w:rsidP="001A0571">
      <w:pPr>
        <w:pStyle w:val="14"/>
        <w:ind w:left="397" w:right="637"/>
        <w:rPr>
          <w:b/>
          <w:szCs w:val="28"/>
        </w:rPr>
      </w:pPr>
    </w:p>
    <w:p w:rsidR="001A0571" w:rsidRPr="00456DE5" w:rsidRDefault="001A0571" w:rsidP="001A0571">
      <w:pPr>
        <w:pStyle w:val="14"/>
        <w:ind w:left="397" w:right="637"/>
        <w:rPr>
          <w:b/>
          <w:szCs w:val="28"/>
        </w:rPr>
      </w:pPr>
    </w:p>
    <w:p w:rsidR="001A0571" w:rsidRPr="00456DE5" w:rsidRDefault="00906B96" w:rsidP="001A0571">
      <w:pPr>
        <w:pStyle w:val="14"/>
        <w:ind w:left="397" w:right="637"/>
        <w:rPr>
          <w:b/>
          <w:szCs w:val="28"/>
        </w:rPr>
      </w:pPr>
      <w:r w:rsidRPr="00456DE5">
        <w:rPr>
          <w:b/>
          <w:szCs w:val="28"/>
        </w:rPr>
        <w:t>Рекомендуемый ф</w:t>
      </w:r>
      <w:r w:rsidR="001A0571" w:rsidRPr="00456DE5">
        <w:rPr>
          <w:b/>
          <w:szCs w:val="28"/>
        </w:rPr>
        <w:t>ормат представления налоговой декларации по налогу на дополнительный доход от добычи углеводородного сырья в электронной форме</w:t>
      </w:r>
    </w:p>
    <w:p w:rsidR="001A0571" w:rsidRPr="00456DE5" w:rsidRDefault="001A0571" w:rsidP="001A0571">
      <w:pPr>
        <w:pStyle w:val="1"/>
        <w:spacing w:before="840"/>
      </w:pPr>
      <w:bookmarkStart w:id="1" w:name="_Toc95296546"/>
      <w:bookmarkStart w:id="2" w:name="_Toc95296893"/>
      <w:bookmarkStart w:id="3" w:name="_Toc95530589"/>
      <w:bookmarkStart w:id="4" w:name="_Toc95882976"/>
      <w:bookmarkStart w:id="5" w:name="_Toc95886762"/>
      <w:bookmarkStart w:id="6" w:name="_Toc95896089"/>
      <w:bookmarkStart w:id="7" w:name="_Toc102195770"/>
      <w:bookmarkStart w:id="8" w:name="_Toc136255792"/>
      <w:bookmarkStart w:id="9" w:name="_Toc95530590"/>
      <w:bookmarkStart w:id="10" w:name="_Toc95886763"/>
      <w:bookmarkStart w:id="11" w:name="_Toc95896090"/>
      <w:bookmarkStart w:id="12" w:name="_Toc96419571"/>
      <w:bookmarkStart w:id="13" w:name="_Toc102195771"/>
      <w:bookmarkStart w:id="14" w:name="_Toc233432120"/>
      <w:bookmarkStart w:id="15" w:name="_Toc136255793"/>
      <w:r w:rsidRPr="00456DE5">
        <w:rPr>
          <w:lang w:val="en-US"/>
        </w:rPr>
        <w:t>I</w:t>
      </w:r>
      <w:r w:rsidRPr="00456DE5">
        <w:t>. 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1A0571" w:rsidRPr="00456DE5" w:rsidRDefault="001A0571" w:rsidP="001A0571">
      <w:pPr>
        <w:pStyle w:val="a8"/>
        <w:rPr>
          <w:rFonts w:eastAsia="SimSun"/>
          <w:sz w:val="28"/>
          <w:szCs w:val="28"/>
        </w:rPr>
      </w:pPr>
      <w:bookmarkStart w:id="16" w:name="_Toc98229306"/>
      <w:bookmarkEnd w:id="9"/>
      <w:bookmarkEnd w:id="10"/>
      <w:bookmarkEnd w:id="11"/>
      <w:bookmarkEnd w:id="12"/>
      <w:bookmarkEnd w:id="13"/>
      <w:bookmarkEnd w:id="14"/>
      <w:bookmarkEnd w:id="15"/>
      <w:r w:rsidRPr="00456DE5">
        <w:rPr>
          <w:rFonts w:eastAsia="SimSun"/>
          <w:sz w:val="28"/>
          <w:szCs w:val="28"/>
        </w:rPr>
        <w:t>1. Настоящий формат описывает требования к XML файлам (далее – файлам обмена) передачи в электронной форме налоговой декларации по налогу на дополнительный доход от добычи углеводородного сырья в налоговые органы.</w:t>
      </w:r>
    </w:p>
    <w:p w:rsidR="001A0571" w:rsidRPr="00456DE5" w:rsidRDefault="001A0571" w:rsidP="001A0571">
      <w:pPr>
        <w:pStyle w:val="a8"/>
        <w:rPr>
          <w:rFonts w:eastAsia="SimSun"/>
          <w:sz w:val="28"/>
          <w:szCs w:val="28"/>
        </w:rPr>
      </w:pPr>
      <w:bookmarkStart w:id="17" w:name="_Toc95530593"/>
      <w:bookmarkStart w:id="18" w:name="_Toc95886765"/>
      <w:bookmarkStart w:id="19" w:name="_Toc95896092"/>
      <w:bookmarkStart w:id="20" w:name="_Toc102195773"/>
      <w:bookmarkStart w:id="21" w:name="_Toc136255795"/>
      <w:bookmarkStart w:id="22" w:name="_Toc136255796"/>
      <w:bookmarkStart w:id="23" w:name="_Toc95530594"/>
      <w:bookmarkStart w:id="24" w:name="_Toc95882978"/>
      <w:bookmarkStart w:id="25" w:name="_Toc95886766"/>
      <w:bookmarkStart w:id="26" w:name="_Toc95896093"/>
      <w:bookmarkStart w:id="27" w:name="_Toc96419573"/>
      <w:bookmarkStart w:id="28" w:name="_Toc102195774"/>
      <w:bookmarkEnd w:id="16"/>
      <w:r w:rsidRPr="00456DE5">
        <w:rPr>
          <w:rFonts w:eastAsia="SimSun"/>
          <w:sz w:val="28"/>
          <w:szCs w:val="28"/>
        </w:rPr>
        <w:t xml:space="preserve">2. Номер версии настоящего формата 5.01, часть </w:t>
      </w:r>
      <w:r w:rsidRPr="00456DE5">
        <w:rPr>
          <w:color w:val="212121"/>
          <w:sz w:val="28"/>
          <w:szCs w:val="28"/>
        </w:rPr>
        <w:t>CCXIX</w:t>
      </w:r>
      <w:r w:rsidRPr="00456DE5">
        <w:rPr>
          <w:rFonts w:eastAsia="SimSun"/>
          <w:sz w:val="28"/>
          <w:szCs w:val="28"/>
        </w:rPr>
        <w:t>.</w:t>
      </w:r>
    </w:p>
    <w:p w:rsidR="001A0571" w:rsidRPr="00456DE5" w:rsidRDefault="001A0571" w:rsidP="001A0571">
      <w:pPr>
        <w:pStyle w:val="1"/>
        <w:spacing w:before="360"/>
      </w:pPr>
      <w:r w:rsidRPr="00456DE5">
        <w:t>II. ОПИСАНИЕ ФАЙЛА ОБМЕНА</w:t>
      </w:r>
      <w:bookmarkEnd w:id="17"/>
      <w:bookmarkEnd w:id="18"/>
      <w:bookmarkEnd w:id="19"/>
      <w:bookmarkEnd w:id="20"/>
      <w:bookmarkEnd w:id="21"/>
    </w:p>
    <w:bookmarkEnd w:id="22"/>
    <w:p w:rsidR="001A0571" w:rsidRPr="00456DE5" w:rsidRDefault="001A0571" w:rsidP="001A0571">
      <w:pPr>
        <w:pStyle w:val="ab"/>
        <w:rPr>
          <w:rFonts w:eastAsia="SimSun"/>
          <w:szCs w:val="28"/>
        </w:rPr>
      </w:pPr>
      <w:r w:rsidRPr="00456DE5">
        <w:rPr>
          <w:szCs w:val="28"/>
        </w:rPr>
        <w:t xml:space="preserve">3. </w:t>
      </w:r>
      <w:r w:rsidRPr="00456DE5">
        <w:rPr>
          <w:b/>
          <w:szCs w:val="28"/>
        </w:rPr>
        <w:t xml:space="preserve">Имя файла обмена </w:t>
      </w:r>
      <w:r w:rsidRPr="00456DE5">
        <w:rPr>
          <w:rFonts w:eastAsia="SimSun"/>
          <w:szCs w:val="28"/>
        </w:rPr>
        <w:t>должно иметь следующий вид:</w:t>
      </w:r>
    </w:p>
    <w:p w:rsidR="001A0571" w:rsidRPr="00456DE5" w:rsidRDefault="001A0571" w:rsidP="001A0571">
      <w:pPr>
        <w:pStyle w:val="ab"/>
        <w:rPr>
          <w:szCs w:val="28"/>
          <w:lang w:val="en-US"/>
        </w:rPr>
      </w:pPr>
      <w:r w:rsidRPr="00456DE5">
        <w:rPr>
          <w:b/>
          <w:i/>
          <w:szCs w:val="28"/>
          <w:lang w:val="en-US"/>
        </w:rPr>
        <w:t>R_</w:t>
      </w:r>
      <w:r w:rsidRPr="00456DE5">
        <w:rPr>
          <w:b/>
          <w:i/>
          <w:szCs w:val="28"/>
        </w:rPr>
        <w:t>Т</w:t>
      </w:r>
      <w:r w:rsidRPr="00456DE5">
        <w:rPr>
          <w:b/>
          <w:i/>
          <w:szCs w:val="28"/>
          <w:lang w:val="en-US"/>
        </w:rPr>
        <w:t>_A_K_</w:t>
      </w:r>
      <w:r w:rsidRPr="00456DE5">
        <w:rPr>
          <w:b/>
          <w:i/>
          <w:szCs w:val="28"/>
        </w:rPr>
        <w:t>О</w:t>
      </w:r>
      <w:r w:rsidRPr="00456DE5">
        <w:rPr>
          <w:b/>
          <w:i/>
          <w:szCs w:val="28"/>
          <w:lang w:val="en-US"/>
        </w:rPr>
        <w:t>_GGGGMMDD_N</w:t>
      </w:r>
      <w:r w:rsidRPr="00456DE5">
        <w:rPr>
          <w:szCs w:val="28"/>
          <w:lang w:val="en-US"/>
        </w:rPr>
        <w:t xml:space="preserve">, </w:t>
      </w:r>
      <w:r w:rsidRPr="00456DE5">
        <w:rPr>
          <w:szCs w:val="28"/>
        </w:rPr>
        <w:t>где</w:t>
      </w:r>
      <w:r w:rsidRPr="00456DE5">
        <w:rPr>
          <w:szCs w:val="28"/>
          <w:lang w:val="en-US"/>
        </w:rPr>
        <w:t>:</w:t>
      </w:r>
    </w:p>
    <w:p w:rsidR="001A0571" w:rsidRPr="00456DE5" w:rsidRDefault="001A0571" w:rsidP="001A0571">
      <w:pPr>
        <w:pStyle w:val="ab"/>
        <w:rPr>
          <w:rFonts w:eastAsia="SimSun"/>
          <w:szCs w:val="28"/>
        </w:rPr>
      </w:pPr>
      <w:r w:rsidRPr="00456DE5">
        <w:rPr>
          <w:b/>
          <w:i/>
          <w:szCs w:val="28"/>
        </w:rPr>
        <w:t>R_Т</w:t>
      </w:r>
      <w:r w:rsidRPr="00456DE5">
        <w:rPr>
          <w:szCs w:val="28"/>
        </w:rPr>
        <w:t xml:space="preserve"> – </w:t>
      </w:r>
      <w:r w:rsidRPr="00456DE5">
        <w:rPr>
          <w:rFonts w:eastAsia="SimSun"/>
          <w:szCs w:val="28"/>
        </w:rPr>
        <w:t>префикс, принимающий значение NO_</w:t>
      </w:r>
      <w:r w:rsidRPr="00456DE5">
        <w:rPr>
          <w:rFonts w:eastAsia="SimSun"/>
          <w:szCs w:val="28"/>
          <w:lang w:val="en-US"/>
        </w:rPr>
        <w:t>NDDUGL</w:t>
      </w:r>
      <w:r w:rsidRPr="00456DE5">
        <w:rPr>
          <w:rFonts w:eastAsia="SimSun"/>
          <w:szCs w:val="28"/>
        </w:rPr>
        <w:t>;</w:t>
      </w:r>
    </w:p>
    <w:p w:rsidR="001A0571" w:rsidRPr="00456DE5" w:rsidRDefault="001A0571" w:rsidP="001A0571">
      <w:pPr>
        <w:pStyle w:val="ab"/>
        <w:rPr>
          <w:szCs w:val="28"/>
        </w:rPr>
      </w:pPr>
      <w:r w:rsidRPr="00456DE5">
        <w:rPr>
          <w:b/>
          <w:i/>
          <w:szCs w:val="28"/>
        </w:rPr>
        <w:t>A_K</w:t>
      </w:r>
      <w:r w:rsidRPr="00456DE5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456DE5">
        <w:rPr>
          <w:szCs w:val="28"/>
          <w:vertAlign w:val="superscript"/>
        </w:rPr>
        <w:footnoteReference w:id="1"/>
      </w:r>
      <w:r w:rsidRPr="00456DE5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1A0571" w:rsidRPr="00456DE5" w:rsidRDefault="001A0571" w:rsidP="001A0571">
      <w:pPr>
        <w:pStyle w:val="ab"/>
        <w:rPr>
          <w:szCs w:val="28"/>
        </w:rPr>
      </w:pPr>
      <w:r w:rsidRPr="00456DE5">
        <w:rPr>
          <w:b/>
          <w:i/>
          <w:szCs w:val="28"/>
        </w:rPr>
        <w:t>О</w:t>
      </w:r>
      <w:r w:rsidRPr="00456DE5">
        <w:rPr>
          <w:szCs w:val="28"/>
        </w:rPr>
        <w:t xml:space="preserve"> – идентификатор отправителя информации, имеет вид:</w:t>
      </w:r>
    </w:p>
    <w:p w:rsidR="001A0571" w:rsidRPr="00456DE5" w:rsidRDefault="001A0571" w:rsidP="001A0571">
      <w:pPr>
        <w:pStyle w:val="ab"/>
        <w:rPr>
          <w:szCs w:val="28"/>
        </w:rPr>
      </w:pPr>
      <w:r w:rsidRPr="00456DE5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1A0571" w:rsidRPr="00456DE5" w:rsidRDefault="001A0571" w:rsidP="001A0571">
      <w:pPr>
        <w:pStyle w:val="ab"/>
        <w:rPr>
          <w:szCs w:val="28"/>
        </w:rPr>
      </w:pPr>
      <w:r w:rsidRPr="00456DE5">
        <w:rPr>
          <w:b/>
          <w:i/>
          <w:szCs w:val="28"/>
        </w:rPr>
        <w:t xml:space="preserve">GGGG </w:t>
      </w:r>
      <w:r w:rsidRPr="00456DE5">
        <w:rPr>
          <w:szCs w:val="28"/>
        </w:rPr>
        <w:t xml:space="preserve">– год формирования передаваемого файла, </w:t>
      </w:r>
      <w:r w:rsidRPr="00456DE5">
        <w:rPr>
          <w:b/>
          <w:i/>
          <w:szCs w:val="28"/>
        </w:rPr>
        <w:t>MM</w:t>
      </w:r>
      <w:r w:rsidRPr="00456DE5">
        <w:rPr>
          <w:szCs w:val="28"/>
        </w:rPr>
        <w:t xml:space="preserve"> – месяц, </w:t>
      </w:r>
      <w:r w:rsidRPr="00456DE5">
        <w:rPr>
          <w:b/>
          <w:i/>
          <w:szCs w:val="28"/>
        </w:rPr>
        <w:t>DD</w:t>
      </w:r>
      <w:r w:rsidRPr="00456DE5">
        <w:rPr>
          <w:szCs w:val="28"/>
        </w:rPr>
        <w:t xml:space="preserve"> – день;</w:t>
      </w:r>
    </w:p>
    <w:p w:rsidR="001A0571" w:rsidRPr="00456DE5" w:rsidRDefault="001A0571" w:rsidP="001A0571">
      <w:pPr>
        <w:pStyle w:val="ab"/>
        <w:rPr>
          <w:szCs w:val="28"/>
        </w:rPr>
      </w:pPr>
      <w:r w:rsidRPr="00456DE5">
        <w:rPr>
          <w:b/>
          <w:i/>
          <w:szCs w:val="28"/>
        </w:rPr>
        <w:t>N</w:t>
      </w:r>
      <w:r w:rsidRPr="00456DE5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1A0571" w:rsidRPr="00456DE5" w:rsidRDefault="001A0571" w:rsidP="001A0571">
      <w:pPr>
        <w:pStyle w:val="ab"/>
        <w:rPr>
          <w:szCs w:val="28"/>
        </w:rPr>
      </w:pPr>
      <w:r w:rsidRPr="00456DE5">
        <w:rPr>
          <w:szCs w:val="28"/>
        </w:rPr>
        <w:lastRenderedPageBreak/>
        <w:t xml:space="preserve">Расширение имени файла – </w:t>
      </w:r>
      <w:proofErr w:type="spellStart"/>
      <w:r w:rsidRPr="00456DE5">
        <w:rPr>
          <w:szCs w:val="28"/>
        </w:rPr>
        <w:t>xml</w:t>
      </w:r>
      <w:proofErr w:type="spellEnd"/>
      <w:r w:rsidRPr="00456DE5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1A0571" w:rsidRPr="00456DE5" w:rsidRDefault="001A0571" w:rsidP="001A0571">
      <w:pPr>
        <w:pStyle w:val="4"/>
        <w:rPr>
          <w:sz w:val="28"/>
          <w:szCs w:val="28"/>
        </w:rPr>
      </w:pPr>
      <w:r w:rsidRPr="00456DE5">
        <w:rPr>
          <w:sz w:val="28"/>
          <w:szCs w:val="28"/>
        </w:rPr>
        <w:t>Параметры первой строки файла обмена</w:t>
      </w:r>
    </w:p>
    <w:p w:rsidR="001A0571" w:rsidRPr="00456DE5" w:rsidRDefault="001A0571" w:rsidP="001A0571">
      <w:pPr>
        <w:pStyle w:val="a8"/>
        <w:rPr>
          <w:sz w:val="28"/>
          <w:szCs w:val="28"/>
        </w:rPr>
      </w:pPr>
      <w:r w:rsidRPr="00456DE5">
        <w:rPr>
          <w:sz w:val="28"/>
          <w:szCs w:val="28"/>
        </w:rPr>
        <w:t>Первая строка XML файла должна иметь следующий вид:</w:t>
      </w:r>
    </w:p>
    <w:p w:rsidR="001A0571" w:rsidRPr="00456DE5" w:rsidRDefault="001A0571" w:rsidP="001A0571">
      <w:pPr>
        <w:pStyle w:val="a8"/>
        <w:rPr>
          <w:sz w:val="28"/>
          <w:szCs w:val="28"/>
        </w:rPr>
      </w:pPr>
      <w:r w:rsidRPr="00456DE5">
        <w:rPr>
          <w:sz w:val="28"/>
          <w:szCs w:val="28"/>
        </w:rPr>
        <w:t>&lt;?</w:t>
      </w:r>
      <w:proofErr w:type="gramStart"/>
      <w:r w:rsidRPr="00456DE5">
        <w:rPr>
          <w:sz w:val="28"/>
          <w:szCs w:val="28"/>
          <w:lang w:val="en-US"/>
        </w:rPr>
        <w:t>xml</w:t>
      </w:r>
      <w:r w:rsidRPr="00456DE5">
        <w:rPr>
          <w:sz w:val="28"/>
          <w:szCs w:val="28"/>
        </w:rPr>
        <w:t xml:space="preserve">  </w:t>
      </w:r>
      <w:r w:rsidRPr="00456DE5">
        <w:rPr>
          <w:sz w:val="28"/>
          <w:szCs w:val="28"/>
          <w:lang w:val="en-US"/>
        </w:rPr>
        <w:t>version</w:t>
      </w:r>
      <w:proofErr w:type="gramEnd"/>
      <w:r w:rsidRPr="00456DE5">
        <w:rPr>
          <w:sz w:val="28"/>
          <w:szCs w:val="28"/>
        </w:rPr>
        <w:t xml:space="preserve"> ="1.0"  </w:t>
      </w:r>
      <w:r w:rsidRPr="00456DE5">
        <w:rPr>
          <w:sz w:val="28"/>
          <w:szCs w:val="28"/>
          <w:lang w:val="en-US"/>
        </w:rPr>
        <w:t>encoding</w:t>
      </w:r>
      <w:r w:rsidRPr="00456DE5">
        <w:rPr>
          <w:sz w:val="28"/>
          <w:szCs w:val="28"/>
        </w:rPr>
        <w:t xml:space="preserve"> ="</w:t>
      </w:r>
      <w:r w:rsidRPr="00456DE5">
        <w:rPr>
          <w:sz w:val="28"/>
          <w:szCs w:val="28"/>
          <w:lang w:val="en-US"/>
        </w:rPr>
        <w:t>windows</w:t>
      </w:r>
      <w:r w:rsidRPr="00456DE5">
        <w:rPr>
          <w:sz w:val="28"/>
          <w:szCs w:val="28"/>
        </w:rPr>
        <w:t>-1251"?&gt;</w:t>
      </w:r>
    </w:p>
    <w:p w:rsidR="001A0571" w:rsidRPr="00456DE5" w:rsidRDefault="001A0571" w:rsidP="001A0571">
      <w:pPr>
        <w:pStyle w:val="a8"/>
        <w:rPr>
          <w:rFonts w:eastAsia="SimSun"/>
          <w:sz w:val="28"/>
          <w:szCs w:val="28"/>
        </w:rPr>
      </w:pPr>
      <w:r w:rsidRPr="00456DE5">
        <w:rPr>
          <w:rFonts w:eastAsia="SimSun"/>
          <w:b/>
          <w:sz w:val="28"/>
          <w:szCs w:val="28"/>
        </w:rPr>
        <w:t xml:space="preserve">Имя файла, содержащего </w:t>
      </w:r>
      <w:r w:rsidRPr="00456DE5">
        <w:rPr>
          <w:rFonts w:eastAsia="SimSun"/>
          <w:b/>
          <w:sz w:val="28"/>
          <w:szCs w:val="28"/>
          <w:lang w:val="en-US"/>
        </w:rPr>
        <w:t>XML</w:t>
      </w:r>
      <w:r w:rsidRPr="00456DE5">
        <w:rPr>
          <w:rFonts w:eastAsia="SimSun"/>
          <w:b/>
          <w:sz w:val="28"/>
          <w:szCs w:val="28"/>
        </w:rPr>
        <w:t xml:space="preserve"> схему файла обмена</w:t>
      </w:r>
      <w:r w:rsidRPr="00456DE5">
        <w:rPr>
          <w:rFonts w:eastAsia="SimSun"/>
          <w:sz w:val="28"/>
          <w:szCs w:val="28"/>
        </w:rPr>
        <w:t>, должно иметь следующий вид:</w:t>
      </w:r>
    </w:p>
    <w:p w:rsidR="001A0571" w:rsidRPr="00456DE5" w:rsidRDefault="001A0571" w:rsidP="001A0571">
      <w:pPr>
        <w:pStyle w:val="a8"/>
        <w:rPr>
          <w:rFonts w:eastAsia="SimSun"/>
          <w:sz w:val="28"/>
          <w:szCs w:val="28"/>
        </w:rPr>
      </w:pPr>
      <w:r w:rsidRPr="00456DE5">
        <w:rPr>
          <w:rFonts w:eastAsia="SimSun"/>
          <w:sz w:val="28"/>
          <w:szCs w:val="28"/>
        </w:rPr>
        <w:t>NO_</w:t>
      </w:r>
      <w:r w:rsidRPr="00456DE5">
        <w:rPr>
          <w:rFonts w:eastAsia="SimSun"/>
          <w:sz w:val="28"/>
          <w:szCs w:val="28"/>
          <w:lang w:val="en-US"/>
        </w:rPr>
        <w:t>NDDUGL</w:t>
      </w:r>
      <w:r w:rsidRPr="00456DE5">
        <w:rPr>
          <w:rFonts w:eastAsia="SimSun"/>
          <w:sz w:val="28"/>
          <w:szCs w:val="28"/>
        </w:rPr>
        <w:t>_1_219_00_05_01_</w:t>
      </w:r>
      <w:proofErr w:type="gramStart"/>
      <w:r w:rsidRPr="00456DE5">
        <w:rPr>
          <w:rFonts w:eastAsia="SimSun"/>
          <w:sz w:val="28"/>
          <w:szCs w:val="28"/>
          <w:lang w:val="en-US"/>
        </w:rPr>
        <w:t>xx</w:t>
      </w:r>
      <w:r w:rsidRPr="00456DE5">
        <w:rPr>
          <w:rFonts w:eastAsia="SimSun"/>
          <w:sz w:val="28"/>
          <w:szCs w:val="28"/>
        </w:rPr>
        <w:t xml:space="preserve"> ,</w:t>
      </w:r>
      <w:proofErr w:type="gramEnd"/>
      <w:r w:rsidRPr="00456DE5">
        <w:rPr>
          <w:rFonts w:eastAsia="SimSun"/>
          <w:sz w:val="28"/>
          <w:szCs w:val="28"/>
        </w:rPr>
        <w:t xml:space="preserve"> </w:t>
      </w:r>
      <w:r w:rsidRPr="00456DE5">
        <w:rPr>
          <w:sz w:val="28"/>
          <w:szCs w:val="28"/>
        </w:rPr>
        <w:t xml:space="preserve">где </w:t>
      </w:r>
      <w:proofErr w:type="spellStart"/>
      <w:r w:rsidRPr="00456DE5">
        <w:rPr>
          <w:sz w:val="28"/>
          <w:szCs w:val="28"/>
        </w:rPr>
        <w:t>хх</w:t>
      </w:r>
      <w:proofErr w:type="spellEnd"/>
      <w:r w:rsidRPr="00456DE5">
        <w:rPr>
          <w:sz w:val="28"/>
          <w:szCs w:val="28"/>
        </w:rPr>
        <w:t xml:space="preserve"> – номер версии схемы.</w:t>
      </w:r>
    </w:p>
    <w:p w:rsidR="001A0571" w:rsidRPr="00456DE5" w:rsidRDefault="001A0571" w:rsidP="001A0571">
      <w:pPr>
        <w:pStyle w:val="a8"/>
        <w:rPr>
          <w:rFonts w:eastAsia="SimSun"/>
          <w:sz w:val="28"/>
          <w:szCs w:val="28"/>
        </w:rPr>
      </w:pPr>
      <w:r w:rsidRPr="00456DE5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456DE5">
        <w:rPr>
          <w:rFonts w:eastAsia="SimSun"/>
          <w:sz w:val="28"/>
          <w:szCs w:val="28"/>
        </w:rPr>
        <w:t>xsd</w:t>
      </w:r>
      <w:proofErr w:type="spellEnd"/>
      <w:r w:rsidRPr="00456DE5">
        <w:rPr>
          <w:rFonts w:eastAsia="SimSun"/>
          <w:sz w:val="28"/>
          <w:szCs w:val="28"/>
        </w:rPr>
        <w:t>.</w:t>
      </w:r>
    </w:p>
    <w:p w:rsidR="001A0571" w:rsidRPr="00456DE5" w:rsidRDefault="001A0571" w:rsidP="001A0571">
      <w:pPr>
        <w:pStyle w:val="a8"/>
        <w:rPr>
          <w:sz w:val="28"/>
          <w:szCs w:val="28"/>
        </w:rPr>
      </w:pPr>
      <w:r w:rsidRPr="00456DE5">
        <w:rPr>
          <w:sz w:val="28"/>
          <w:szCs w:val="28"/>
          <w:lang w:val="en-US"/>
        </w:rPr>
        <w:t>XML</w:t>
      </w:r>
      <w:r w:rsidRPr="00456DE5">
        <w:rPr>
          <w:sz w:val="28"/>
          <w:szCs w:val="28"/>
        </w:rPr>
        <w:t xml:space="preserve"> схема файла обмена приводится отдельным файлом и размещается на сайте Федеральной налоговой службы.</w:t>
      </w:r>
    </w:p>
    <w:bookmarkEnd w:id="23"/>
    <w:bookmarkEnd w:id="24"/>
    <w:bookmarkEnd w:id="25"/>
    <w:bookmarkEnd w:id="26"/>
    <w:bookmarkEnd w:id="27"/>
    <w:bookmarkEnd w:id="28"/>
    <w:p w:rsidR="001A0571" w:rsidRPr="00456DE5" w:rsidRDefault="001A0571" w:rsidP="001A0571">
      <w:pPr>
        <w:pStyle w:val="a8"/>
        <w:spacing w:before="120"/>
        <w:rPr>
          <w:sz w:val="28"/>
          <w:szCs w:val="28"/>
        </w:rPr>
      </w:pPr>
      <w:r w:rsidRPr="00456DE5">
        <w:rPr>
          <w:sz w:val="28"/>
          <w:szCs w:val="28"/>
        </w:rPr>
        <w:t>4.</w:t>
      </w:r>
      <w:r w:rsidRPr="00456DE5">
        <w:rPr>
          <w:b/>
          <w:sz w:val="28"/>
          <w:szCs w:val="28"/>
        </w:rPr>
        <w:t xml:space="preserve"> Логическая модель файла обмена </w:t>
      </w:r>
      <w:r w:rsidRPr="00456DE5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4.1-4.30 настоящего формата.</w:t>
      </w:r>
    </w:p>
    <w:p w:rsidR="001A0571" w:rsidRPr="00456DE5" w:rsidRDefault="001A0571" w:rsidP="001A0571">
      <w:pPr>
        <w:pStyle w:val="a8"/>
        <w:rPr>
          <w:sz w:val="28"/>
          <w:szCs w:val="28"/>
        </w:rPr>
      </w:pPr>
      <w:r w:rsidRPr="00456DE5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1A0571" w:rsidRPr="00456DE5" w:rsidRDefault="001A0571" w:rsidP="001A0571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56DE5">
        <w:rPr>
          <w:rStyle w:val="aa"/>
          <w:sz w:val="28"/>
          <w:szCs w:val="28"/>
        </w:rPr>
        <w:t>наименование элемента.</w:t>
      </w:r>
      <w:r w:rsidRPr="00456DE5">
        <w:rPr>
          <w:sz w:val="28"/>
          <w:szCs w:val="28"/>
        </w:rPr>
        <w:t xml:space="preserve"> </w:t>
      </w:r>
      <w:r w:rsidRPr="00456DE5">
        <w:rPr>
          <w:rStyle w:val="a9"/>
          <w:sz w:val="28"/>
          <w:szCs w:val="28"/>
        </w:rPr>
        <w:t>Приводится полное наименование элемента</w:t>
      </w:r>
      <w:r w:rsidRPr="00456DE5">
        <w:rPr>
          <w:rStyle w:val="a7"/>
          <w:sz w:val="28"/>
          <w:szCs w:val="28"/>
        </w:rPr>
        <w:footnoteReference w:id="2"/>
      </w:r>
      <w:r w:rsidRPr="00456DE5">
        <w:rPr>
          <w:rStyle w:val="a9"/>
          <w:sz w:val="28"/>
          <w:szCs w:val="28"/>
        </w:rPr>
        <w:t>;</w:t>
      </w:r>
    </w:p>
    <w:p w:rsidR="001A0571" w:rsidRPr="00456DE5" w:rsidRDefault="001A0571" w:rsidP="001A057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56DE5">
        <w:rPr>
          <w:rStyle w:val="aa"/>
          <w:sz w:val="28"/>
          <w:szCs w:val="28"/>
        </w:rPr>
        <w:t>сокращенное наименование (код) элемента.</w:t>
      </w:r>
      <w:r w:rsidRPr="00456DE5">
        <w:rPr>
          <w:sz w:val="28"/>
          <w:szCs w:val="28"/>
        </w:rPr>
        <w:t xml:space="preserve"> </w:t>
      </w:r>
      <w:r w:rsidRPr="00456DE5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456DE5">
        <w:rPr>
          <w:rStyle w:val="a9"/>
          <w:sz w:val="28"/>
          <w:szCs w:val="28"/>
          <w:lang w:val="en-US"/>
        </w:rPr>
        <w:t>XML</w:t>
      </w:r>
      <w:r w:rsidRPr="00456DE5">
        <w:rPr>
          <w:sz w:val="28"/>
          <w:szCs w:val="28"/>
        </w:rPr>
        <w:t>;</w:t>
      </w:r>
    </w:p>
    <w:p w:rsidR="001A0571" w:rsidRPr="00456DE5" w:rsidRDefault="001A0571" w:rsidP="001A0571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56DE5">
        <w:rPr>
          <w:rStyle w:val="aa"/>
          <w:sz w:val="28"/>
          <w:szCs w:val="28"/>
        </w:rPr>
        <w:t>признак типа элемента.</w:t>
      </w:r>
      <w:r w:rsidRPr="00456DE5">
        <w:rPr>
          <w:sz w:val="28"/>
          <w:szCs w:val="28"/>
        </w:rPr>
        <w:t xml:space="preserve"> </w:t>
      </w:r>
      <w:r w:rsidRPr="00456DE5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456DE5">
        <w:rPr>
          <w:rStyle w:val="a9"/>
          <w:sz w:val="28"/>
          <w:szCs w:val="28"/>
          <w:lang w:val="en-US"/>
        </w:rPr>
        <w:t>XML</w:t>
      </w:r>
      <w:r w:rsidRPr="00456DE5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456DE5">
        <w:rPr>
          <w:rStyle w:val="a9"/>
          <w:sz w:val="28"/>
          <w:szCs w:val="28"/>
          <w:lang w:val="en-US"/>
        </w:rPr>
        <w:t>XML</w:t>
      </w:r>
      <w:r w:rsidRPr="00456DE5">
        <w:rPr>
          <w:rStyle w:val="a9"/>
          <w:sz w:val="28"/>
          <w:szCs w:val="28"/>
        </w:rPr>
        <w:t xml:space="preserve"> файла. Простой элемент </w:t>
      </w:r>
      <w:r w:rsidRPr="00456DE5">
        <w:rPr>
          <w:sz w:val="28"/>
          <w:szCs w:val="28"/>
        </w:rPr>
        <w:t xml:space="preserve">логической модели </w:t>
      </w:r>
      <w:r w:rsidRPr="00456DE5">
        <w:rPr>
          <w:rStyle w:val="a9"/>
          <w:sz w:val="28"/>
          <w:szCs w:val="28"/>
        </w:rPr>
        <w:t>не содержит вложенные элементы;</w:t>
      </w:r>
    </w:p>
    <w:p w:rsidR="001A0571" w:rsidRPr="00456DE5" w:rsidRDefault="001A0571" w:rsidP="001A0571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56DE5">
        <w:rPr>
          <w:rStyle w:val="aa"/>
          <w:sz w:val="28"/>
          <w:szCs w:val="28"/>
        </w:rPr>
        <w:t>формат элемента.</w:t>
      </w:r>
      <w:r w:rsidRPr="00456DE5">
        <w:rPr>
          <w:sz w:val="28"/>
          <w:szCs w:val="28"/>
        </w:rPr>
        <w:t xml:space="preserve"> Формат </w:t>
      </w:r>
      <w:r w:rsidRPr="00456DE5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1A0571" w:rsidRPr="00456DE5" w:rsidRDefault="001A0571" w:rsidP="001A057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56DE5">
        <w:rPr>
          <w:rStyle w:val="a9"/>
          <w:sz w:val="28"/>
          <w:szCs w:val="28"/>
        </w:rPr>
        <w:t>Формат</w:t>
      </w:r>
      <w:r w:rsidRPr="00456DE5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1A0571" w:rsidRPr="00456DE5" w:rsidRDefault="001A0571" w:rsidP="001A057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56DE5">
        <w:rPr>
          <w:rStyle w:val="a9"/>
          <w:sz w:val="28"/>
          <w:szCs w:val="28"/>
        </w:rPr>
        <w:t>Формат</w:t>
      </w:r>
      <w:r w:rsidRPr="00456DE5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456DE5">
        <w:rPr>
          <w:sz w:val="28"/>
          <w:szCs w:val="28"/>
        </w:rPr>
        <w:t>m.k</w:t>
      </w:r>
      <w:proofErr w:type="spellEnd"/>
      <w:r w:rsidRPr="00456DE5">
        <w:rPr>
          <w:sz w:val="28"/>
          <w:szCs w:val="28"/>
        </w:rPr>
        <w:t xml:space="preserve">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</w:t>
      </w:r>
      <w:r w:rsidRPr="00456DE5">
        <w:rPr>
          <w:sz w:val="28"/>
          <w:szCs w:val="28"/>
        </w:rPr>
        <w:lastRenderedPageBreak/>
        <w:t>части числа равно 0 (то есть число целое), то формат числового значения имеет вид N(m).</w:t>
      </w:r>
    </w:p>
    <w:p w:rsidR="001A0571" w:rsidRPr="00456DE5" w:rsidRDefault="001A0571" w:rsidP="001A057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56DE5">
        <w:rPr>
          <w:sz w:val="28"/>
          <w:szCs w:val="28"/>
        </w:rPr>
        <w:t xml:space="preserve">Для </w:t>
      </w:r>
      <w:r w:rsidRPr="00456DE5">
        <w:rPr>
          <w:rStyle w:val="a9"/>
          <w:sz w:val="28"/>
          <w:szCs w:val="28"/>
        </w:rPr>
        <w:t>простых</w:t>
      </w:r>
      <w:r w:rsidRPr="00456DE5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456DE5">
        <w:rPr>
          <w:sz w:val="28"/>
          <w:szCs w:val="28"/>
        </w:rPr>
        <w:t>date</w:t>
      </w:r>
      <w:proofErr w:type="spellEnd"/>
      <w:r w:rsidRPr="00456DE5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1A0571" w:rsidRPr="00456DE5" w:rsidRDefault="001A0571" w:rsidP="001A0571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56DE5">
        <w:rPr>
          <w:rStyle w:val="aa"/>
          <w:sz w:val="28"/>
          <w:szCs w:val="28"/>
        </w:rPr>
        <w:t>признак обязательности элемента</w:t>
      </w:r>
      <w:r w:rsidRPr="00456DE5">
        <w:rPr>
          <w:sz w:val="28"/>
          <w:szCs w:val="28"/>
        </w:rPr>
        <w:t xml:space="preserve"> </w:t>
      </w:r>
      <w:r w:rsidRPr="00456DE5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1A0571" w:rsidRPr="00456DE5" w:rsidRDefault="001A0571" w:rsidP="001A0571">
      <w:pPr>
        <w:pStyle w:val="a8"/>
        <w:rPr>
          <w:rStyle w:val="a9"/>
          <w:sz w:val="28"/>
          <w:szCs w:val="28"/>
        </w:rPr>
      </w:pPr>
      <w:r w:rsidRPr="00456DE5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456DE5">
        <w:rPr>
          <w:rStyle w:val="a9"/>
          <w:sz w:val="28"/>
          <w:szCs w:val="28"/>
          <w:lang w:val="en-US"/>
        </w:rPr>
        <w:t>XML</w:t>
      </w:r>
      <w:r w:rsidRPr="00456DE5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1A0571" w:rsidRPr="00456DE5" w:rsidRDefault="001A0571" w:rsidP="001A0571">
      <w:pPr>
        <w:spacing w:after="0" w:line="240" w:lineRule="auto"/>
        <w:ind w:firstLine="709"/>
        <w:jc w:val="both"/>
        <w:rPr>
          <w:rStyle w:val="a9"/>
          <w:rFonts w:eastAsiaTheme="minorHAnsi"/>
          <w:sz w:val="28"/>
          <w:szCs w:val="28"/>
        </w:rPr>
      </w:pPr>
      <w:r w:rsidRPr="00456DE5">
        <w:rPr>
          <w:rStyle w:val="aa"/>
          <w:rFonts w:eastAsiaTheme="minorHAnsi"/>
          <w:sz w:val="28"/>
          <w:szCs w:val="28"/>
        </w:rPr>
        <w:t xml:space="preserve">дополнительная информация </w:t>
      </w:r>
      <w:r w:rsidRPr="00456DE5">
        <w:rPr>
          <w:rFonts w:ascii="Times New Roman" w:hAnsi="Times New Roman" w:cs="Times New Roman"/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456DE5">
        <w:rPr>
          <w:rStyle w:val="a9"/>
          <w:rFonts w:eastAsiaTheme="minorHAnsi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1A0571" w:rsidRPr="00456DE5" w:rsidRDefault="001A0571">
      <w:pPr>
        <w:rPr>
          <w:rStyle w:val="a9"/>
          <w:rFonts w:eastAsiaTheme="minorHAnsi"/>
          <w:sz w:val="28"/>
          <w:szCs w:val="28"/>
        </w:rPr>
      </w:pPr>
      <w:r w:rsidRPr="00456DE5">
        <w:rPr>
          <w:rStyle w:val="a9"/>
          <w:rFonts w:eastAsiaTheme="minorHAnsi"/>
          <w:sz w:val="28"/>
          <w:szCs w:val="28"/>
        </w:rPr>
        <w:br w:type="page"/>
      </w:r>
    </w:p>
    <w:p w:rsidR="001A0571" w:rsidRPr="00456DE5" w:rsidRDefault="001A0571" w:rsidP="001A05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6DE5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233EC23" wp14:editId="7CF6E81B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543550" cy="874395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54"/>
                    <a:stretch/>
                  </pic:blipFill>
                  <pic:spPr bwMode="auto">
                    <a:xfrm>
                      <a:off x="0" y="0"/>
                      <a:ext cx="5543550" cy="8743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A0571" w:rsidRPr="00456DE5" w:rsidRDefault="001A0571" w:rsidP="001A0571">
      <w:pPr>
        <w:jc w:val="center"/>
        <w:rPr>
          <w:rFonts w:ascii="Times New Roman" w:hAnsi="Times New Roman" w:cs="Times New Roman"/>
          <w:sz w:val="28"/>
          <w:szCs w:val="28"/>
        </w:rPr>
        <w:sectPr w:rsidR="001A0571" w:rsidRPr="00456DE5" w:rsidSect="001A057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456DE5">
        <w:rPr>
          <w:rFonts w:ascii="Times New Roman" w:hAnsi="Times New Roman" w:cs="Times New Roman"/>
          <w:sz w:val="28"/>
          <w:szCs w:val="28"/>
        </w:rPr>
        <w:t>Рисунок 1. Диаграмма структуры файла обмена</w:t>
      </w:r>
    </w:p>
    <w:p w:rsidR="001A0571" w:rsidRPr="00456DE5" w:rsidRDefault="001A0571" w:rsidP="001A05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4.1</w:t>
      </w:r>
    </w:p>
    <w:p w:rsidR="001A0571" w:rsidRPr="00456DE5" w:rsidRDefault="001A0571" w:rsidP="001A0571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Файл обмена (Файл)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файла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 (повторяет) имя сформированного файла (без расширения)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программы, с помощью которой сформирован файл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ВерсПрог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формата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5.01 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структура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4.2 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и структура документа (Документ)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формы отчетности по КНД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КНДТип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1151029 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формирования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ДатаТип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Дата в формате ДД.ММ.ГГГГ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Налоговый (отчетный) период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Принимает значения в соответствии с приложением № 1 «Коды, определяющие отчетный (налоговый) период» к Порядку заполнения налоговой декларации по налогу на дополнительный доход от добычи углеводородного сырья (далее – Порядок заполнения), а именно: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– первый квартал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– полугодие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– девять месяцев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– год   | </w:t>
            </w:r>
          </w:p>
          <w:p w:rsidR="001A0571" w:rsidRPr="00456DE5" w:rsidRDefault="001A0571" w:rsidP="001A0571">
            <w:pPr>
              <w:spacing w:after="0" w:line="240" w:lineRule="auto"/>
              <w:ind w:left="471" w:hanging="4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– первый квартал при реорганизации (ликвидации) организации   | </w:t>
            </w:r>
          </w:p>
          <w:p w:rsidR="001A0571" w:rsidRPr="00456DE5" w:rsidRDefault="001A0571" w:rsidP="001A0571">
            <w:pPr>
              <w:spacing w:after="0" w:line="240" w:lineRule="auto"/>
              <w:ind w:left="471" w:hanging="4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52 – полугодие при реорганизации (ликвидации) организации   | </w:t>
            </w:r>
          </w:p>
          <w:p w:rsidR="001A0571" w:rsidRPr="00456DE5" w:rsidRDefault="001A0571" w:rsidP="001A0571">
            <w:pPr>
              <w:spacing w:after="0" w:line="240" w:lineRule="auto"/>
              <w:ind w:left="471" w:hanging="4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 – девять месяцев при реорганизации (ликвидации) организации   | </w:t>
            </w:r>
          </w:p>
          <w:p w:rsidR="001A0571" w:rsidRPr="00456DE5" w:rsidRDefault="001A0571" w:rsidP="001A0571">
            <w:pPr>
              <w:spacing w:after="0" w:line="240" w:lineRule="auto"/>
              <w:ind w:left="471" w:hanging="4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– год при реорганизации (ликвидации) организации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Отчетный год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ОтчетГод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xs:gYear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 в формате ГГГГ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налогового органа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СОНОТип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корректировки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НомКорр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значение: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0 – первичный документ,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– 999 – номер корректировки для корректирующего документа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места, по которому представляется документ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ПоМесту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Принимает значения в соответствии с приложением № 1 «Коды представления налоговой декларации по налогу на дополнительный доход» к Порядку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заполнения, а именно:</w:t>
            </w:r>
          </w:p>
          <w:p w:rsidR="001A0571" w:rsidRPr="00456DE5" w:rsidRDefault="001A0571" w:rsidP="001A0571">
            <w:pPr>
              <w:spacing w:after="0" w:line="240" w:lineRule="auto"/>
              <w:ind w:left="595" w:hanging="5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 – по месту учета в качестве крупнейшего налогоплательщика   | </w:t>
            </w:r>
          </w:p>
          <w:p w:rsidR="001A0571" w:rsidRPr="00456DE5" w:rsidRDefault="001A0571" w:rsidP="001A0571">
            <w:pPr>
              <w:spacing w:after="0" w:line="240" w:lineRule="auto"/>
              <w:ind w:left="595" w:hanging="5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 – по месту нахождения российской организации, не являющейся крупнейшим налогоплательщиком   | </w:t>
            </w:r>
          </w:p>
          <w:p w:rsidR="001A0571" w:rsidRPr="00456DE5" w:rsidRDefault="001A0571" w:rsidP="001A0571">
            <w:pPr>
              <w:spacing w:after="0" w:line="240" w:lineRule="auto"/>
              <w:ind w:left="595" w:hanging="5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 – по месту нахождения правопреемника, не являющегося крупнейшим налогоплательщиком   | </w:t>
            </w:r>
          </w:p>
          <w:p w:rsidR="001A0571" w:rsidRPr="00456DE5" w:rsidRDefault="001A0571" w:rsidP="001A0571">
            <w:pPr>
              <w:spacing w:after="0" w:line="240" w:lineRule="auto"/>
              <w:ind w:left="595" w:hanging="5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 – по месту учета правопреемника, являющегося крупнейшим налогоплательщиком   | </w:t>
            </w:r>
          </w:p>
          <w:p w:rsidR="001A0571" w:rsidRPr="00456DE5" w:rsidRDefault="001A0571" w:rsidP="001A0571">
            <w:pPr>
              <w:spacing w:after="0" w:line="240" w:lineRule="auto"/>
              <w:ind w:left="595" w:hanging="5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 – по месту осуществления деятельности иностранной организации через отделение иностранной организации 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налогоплательщике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СвНП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4.3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подписавшее документ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4.6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декларация по налогу на дополнительный доход от добычи углеводородного сырья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НДДУгл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4.8 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4.3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налогоплательщике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СвНП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Налогоплательщик - организация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4.4 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4.4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Налогоплательщик - организация (НПЮЛ)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ИННЮЛТип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КППТип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реорганизованной (ликвидированной) организации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СвРеоргЮЛ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4.5 </w:t>
            </w:r>
          </w:p>
        </w:tc>
      </w:tr>
    </w:tbl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4.5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реорганизованной (ликвидированной) организации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СвРеоргЮЛ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74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формы реорганизации (ликвидации)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ФормРеорг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Принимает значения в соответствии с приложением № 1 «Коды форм реорганизации и код ликвидации организации» к Порядку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заполнения, а именно: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0 – ликвидация   |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 – преобразование   |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 – слияние   |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 – разделение   |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 – присоединение   | </w:t>
            </w:r>
          </w:p>
          <w:p w:rsidR="001A0571" w:rsidRPr="00456DE5" w:rsidRDefault="001A0571" w:rsidP="001A057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разделение с одновременным присоединением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реорганизованной организации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ИННЮЛТип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ФормРеорг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| 2 | 3 | 5 | 6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реорганизованной организации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КППТип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ФормРеорг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| 2 | 3 | 5 | 6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4.6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Лицо, подписавшее документ (Подписант)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лица, подписавшего документ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ПрПодп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значение: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– налогоплательщик   |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– представитель налогоплательщика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ФИОТип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4.30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представителе налогоплательщика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элемента представлен в таблице 4.7. Элемент обязателен при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ПрПодп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 = 2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4.7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представителе налогоплательщика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СвПред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документа, подтверждающего полномочия представителя налогоплательщика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T(1-120)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организации - представителя налогоплательщика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4.8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Налоговая декларация по налогу на дополнительный доход от добычи углеводородного сырья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НДДУгл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налога, подлежащая уплате в бюджет, по данным налогоплательщика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СумНалПУ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4.9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налога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РасчНал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4.11 </w:t>
            </w:r>
          </w:p>
        </w:tc>
      </w:tr>
    </w:tbl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4.9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 налога, подлежащая уплате в бюджет, по данным налогоплательщика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СумНалПУ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КБКТип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 в соответствии с Классификатором кодов классификации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бюджетов Российской Федерации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налога, подлежащая уплате в бюджет, по коду ОКТМО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СумНалПУ_МО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4.10 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4.10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 налога, подлежащая уплате в бюджет, по коду ОКТМО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СумНалПУ_МО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ОКТМО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 xml:space="preserve">T(=8) </w:t>
            </w:r>
            <w:r w:rsidRPr="00456D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|</w:t>
            </w: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 xml:space="preserve"> T(=11)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ОКТМОТип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значение в соответствии с Общероссийский классификатором территорий муниципальных образований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к доплате в рублях / Сумма налога к уменьшению в рублях (со знаком "-")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НалПУ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Сумма налога, начисленная к уменьшению, указывается со знаком "-"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4.11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 налога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РасчНал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лицензии на пользование недрами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СерЛицНедр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 лицензии на пользование недрами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НомЛицНедр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лицензии на пользование недрами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ВидЛицНедр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участка недр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НаимУчНедр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Кг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КоэфКг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N(3.2)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убытка или части убытка, уменьшающего налоговую базу за отчетный (налоговый) период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СумУбУмНал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база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НалБаза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налога (%)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НалСтав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исчисленного налога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СумИсчНал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МинНал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начисленных авансовых платежей за предыдущий отчетный период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СумНачПлат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основания налогообложения участка недр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КодОсн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Принимает значения в соответствии с приложением № 2 «Коды оснований налогообложения участка недр налогом на дополнительный доход» к Порядку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выручка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РасчВыр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4.12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4.13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расходы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РасчРасх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4.14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Восстановленные фактические расходы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ВосстФактРасх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4.15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дополнительный доход  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|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ИтогоДопДох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убыток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ИтогоУб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к доплате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|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СумНалДоп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к уменьшению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СумНалУм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ОКТМО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 xml:space="preserve">T(=8) </w:t>
            </w:r>
            <w:r w:rsidRPr="00456D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|</w:t>
            </w: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 xml:space="preserve"> T(=11)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ОКТМОТип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Принимает значение в соответствии с Общероссийский классификатором территорий муниципальных образований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Расчетная выручка от добычи углеводородного сырья на участке недр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РасчВырДоб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4.16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 по добыче углеводородного сырья на участке недр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ФактРасхДоб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4.17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расходы по добыче углеводородного сырья на участке недр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РасчРасхДоб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4.21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подлежащие восстановлению в отчетном (налоговом) периоде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РасхПодлВосст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4.22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суммы убытка или части убытка, уменьшающего налоговую базу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РасчСумУб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4.24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суммы исторического убытка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РасчСумИстУб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4.27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минимального налога за отчетный (налоговый) период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РасчМинНал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4.28 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4.12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Расчетная выручка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РасчВыр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выручка - всего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РасчВырВсего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выручка за первый 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РасчВыр1Мес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Расчетная выручка за второй 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РасчВыр2Мес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выручка за третий 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РасчВыр3Мес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выручка за предыдущие отчетные периоды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РасчВырПред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полученные в текущем отчетном периоде от деятельности по сдаче в аренду лицу, оказывающему услуги (выполняющему работы) налогоплательщику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ДохАрендТек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полученные в предыдущих отчетных периодах от деятельности по сдаче в аренду лицу, оказывающему услуги (выполняющему работы) налогоплательщику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ДохАрендПред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4.13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Фактические расходы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ФактРасх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 - всего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ФактРасхВсего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 за первый 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ФактРасх1Мес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 за второй 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ФактРасх2Мес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 за третий 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ФактРасх3Мес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 за предыдущие отчетные периоды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4.14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Расчетные расходы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РасчРасх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расходы - всего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РасчРасхВсего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расходы за первый 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РасчРасх1Мес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расходы за второй 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РасчРасх2Мес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расходы за третий 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РасчРасх3Мес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расходы за предыдущие отчетные периоды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РасчРасхПред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4.15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Восстановленные фактические расходы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ВосстФактРасх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Восстановленные фактические расходы - всего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ВосстФактРасхВсего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Восстановленные фактические расходы за отчетный период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ВосстФактРасхОтч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Восстановленные фактические расходы за предыдущие отчетные периоды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ВосстФактРасхПред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предыдущих отчетных (налоговых) периодов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ДохПредПер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предыдущих отчетных (налоговых) периодов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РасхПредПер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4.16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Расчетная выручка от добычи углеводородного сырья на участке недр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РасчВырДоб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ОтчетМес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Принимает значения в соответствии с приложением № 2 «Коды месяцев в отношении которых производится расчет» к Порядку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заполнения, а именно: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– январь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– февраль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 – март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– апрель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– май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– июнь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– июль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– август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 – сентябрь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– октябрь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– ноябрь   | </w:t>
            </w:r>
          </w:p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– декабрь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выручка (доходы)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-месяц)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РасчВыр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уровень цен марки "Юралс" за месяц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Цнефть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(в долларах США)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СрУрЦен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N(7.4)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за месяц нефти и газового конденсата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Vнк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КолДобМесНеф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значение за месяц курса доллара США к рублю Российской Федерации (Р)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СрЗначКурс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N(7.4)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перевода тонн в баррели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N(4.2)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источника цены на природный газ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КодИстЦен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значение:</w:t>
            </w:r>
          </w:p>
          <w:p w:rsidR="001A0571" w:rsidRPr="00456DE5" w:rsidRDefault="001A0571" w:rsidP="001A0571">
            <w:pPr>
              <w:spacing w:after="0" w:line="240" w:lineRule="auto"/>
              <w:ind w:left="363" w:hanging="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федеральный орган исполнительной власти</w:t>
            </w:r>
          </w:p>
          <w:p w:rsidR="001A0571" w:rsidRPr="00456DE5" w:rsidRDefault="00395630" w:rsidP="001A0571">
            <w:pPr>
              <w:spacing w:after="0" w:line="240" w:lineRule="auto"/>
              <w:ind w:left="363" w:hanging="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1A0571"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:rsidR="001A0571" w:rsidRPr="00456DE5" w:rsidRDefault="001A0571" w:rsidP="001A0571">
            <w:pPr>
              <w:spacing w:after="0" w:line="240" w:lineRule="auto"/>
              <w:ind w:left="363" w:hanging="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– цена, указанная в договоре купли-продажи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Цена на газ природный, установленная в календарном месяце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Цгаз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(в рублях за тыс. м3)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ЦенГазМес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N(9.4)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добытого газа природного за месяц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Vгаз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(тыс. м3)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КолДобМесГаз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для попутного газа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КоэфПопутГаз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N(3.2)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0.95 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на попутный газ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Цпнг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(в рублях за тыс. м3)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ЦенПопутГаз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N(9.4)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добытого попутного газа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Vпнг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(тыс. м3)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КолПопутГаз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4.17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Фактические расходы по добыче углеводородного сырья на участке недр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ФактРасхДоб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ОтчетМес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Принимает значения в соответствии с приложением № 2 «Коды месяцев в отношении которых производится расчет» к Порядку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заполнения, а именно: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– январь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– февраль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 – март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– апрель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– май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– июнь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– июль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– август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 – сентябрь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– октябрь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 – ноябрь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– декабрь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Фактические расходы по добыче углеводородного сырья на участке недр за месяц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ФактРасхМес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приобретение, сооружение, изготовление, доставку и доведения до состояния пригодного для использования амортизируемого имущества всего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РасхАмортИмущ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работы по достройке, дооборудованию, реконструкции, модернизации, техническому перевооружению объектов, относящихся к амортизируемому имуществу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ЗатрОбАмортИмущ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расходы, связанные с производством и реализацией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ФактРасхПроизв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4.18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указанные в подпункте 7 пункта 5 статьи 333.47 Налогового кодекса Российской Федерации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Расх7.5.333.47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4.19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указанные в подпункте 10 пункта 3 статьи 333.47 Налогового кодекса Российской Федерации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Расх10.3.333.47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4.20 </w:t>
            </w:r>
          </w:p>
        </w:tc>
      </w:tr>
    </w:tbl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4.18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Фактические расходы, связанные с производством и реализацией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ФактРасхПроизв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расходы, связанные с производством и реализацией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ФактРасхПроизвВс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расходы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МатРасх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РасхОплТруд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эксплуатацию, ремонт и техническое обслуживание основных средств и иного имущества, а также на поддержание их в исправном (актуальном) состоянии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РасхОснСред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освоение природных ресурсов, включая разовые, регулярные и иные платежи за пользование недрами, предусмотренные законодательством о недрах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РасхОсвРес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научные исследования и опытно-конструкторские разработки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РасхИсслРазр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обязательное и добровольное страхование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РасхСтрах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4.19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Расходы, указанные в подпункте 7 пункта 5 статьи 333.47 Налогового кодекса Российской Федерации (Расх7.5.333.47)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указанные в подпункте 7 пункта 3 статьи 333.47 Налогового кодекса Российской Федерации всего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Расх7.3.333.47Вс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налогов и сборов, таможенных пошлин и сборов,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начисленные в установленном Налоговым кодексом Российской Федерации порядке, за исключением перечисленных в статье 270 Налогового кодекса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СумНалСбор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сертификацию продукции и услуг, а также на декларирование соответствия с участием третьей стороны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РасхСертДекл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стандартизации с учетом положений пункта 5 статьи 264 Налогового кодекса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РасхСтанд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комиссионных сборов и иных подобных расходов за выполненные сторонними организациями работы (предоставленные услуги)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СумКомСбор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Суммы выплаченных подъемных в пределах норм, установленных в соответствии с законодательством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СумВыплПодъем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пожарной безопасности налогоплательщика в соответствии с законодательством Российской Федерации, расходы на содержание службы 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газоспасателей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расходы на услуги по охране имущества, обслуживанию охранно-пожарной сигнализации, расходы на приобретение услуг пожарной охраны и иных услуг охранной деятельности, в том числе услуг, оказываемых вневедомственной охраной при органах внутренних дел Российской Федерации в соответствии с законодательством Российской Федерации, а также расходы на содержание собственной службы безопасности по выполнению функций экономической защиты банковских и хозяйственных операций и сохранности материальных ценностей (за исключением расходов на экипировку, приобретение оружия и иных специальных средств защиты)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РасхОбеспБезоп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нормальных условий труда и мер по технике безопасности, предусмотренных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законодательством Российской Федерации, расходы на гражданскую оборону в соответствии с законодательством Российской Федерации, а также расходы на лечение профессиональных заболеваний работников, занятых на работах с вредными или тяжелыми условиями труда, расходы, связанные с содержанием помещений и инвентаря здравпунктов, находящихся непосредственно на территории организации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РасхОбеспУсл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набору работников, включая расходы на услуги специализированных организаций по подбору персонала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РасхНабРаб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Арендные (лизинговые) платежи за арендуемое (принятое в лизинг) имущество (в том числе земельные участки), а также расходы на приобретение имущества, переданного в лизинг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РасхАрендПлат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Плата, вносимая концессионером 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концеденту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период использования (эксплуатации) объекта концессионного соглашения (концессионная плата)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КонцПлат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служебного транспорта (автомобильного, железнодорожного, воздушного и иных видов транспорта). Расходы на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компенсацию за использование для служебных поездок личных легковых автомобилей и мотоциклов в пределах норм, установленных Правительством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РасхСодТранс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командировки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РасхКоманд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доставку от места жительства (сбора) до места работы и обратно работников, занятых в организациях, которые осуществляют свою деятельность вахтовым способом или в полевых (экспедиционных) условиях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РасхДост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консультационные и иные аналогичные услуги (в рублях)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РасхКонсульт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организацией или отдельными ее подразделениями, а также расходы на приобретение услуг по управлению организацией или ее отдельными подразделениями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РасхУпрОрг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услуги по предоставлению труда работников (персонала) сторонними организациями для участия в производственной деятельности, в том числе в управлении производством, выполнении иных функций, связанных с производством и (или) реализацией продукции (работ, услуг)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РасхСторОрг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обучение и прохождение независимой оценки квалификации на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соответствие требованиям к квалификации работников налогоплательщика в порядке, предусмотренном пунктом 3 статьи 264 Налогового кодекса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РасхОбуч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канцелярские товары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РасхКанц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почтовые, телефонные, телеграфные и другие подобные услуги, расходы на оплату услуг связи, вычислительных центров и банков, включая расходы на услуги факсимильной и спутниковой связи, электронной почты, а также информационных систем (СВИФТ, информационно-телекоммуникационная сеть "Интернет" и иные аналогичные системы)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РасхСвязь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приобретением права на использование программ для ЭВМ и баз данных по договорам с правообладателем (по лицензионным и 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сублицензионным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соглашениям)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РасхПравЭВМ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текущее изучение (исследование) конъюнктуры рынка, сбор информации, непосредственно связанной с производством и реализацией товаров (работ, услуг)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РасхИзучРын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содержание вахтовых и временных поселков, включая все объекты жилищно-коммунального и социально-бытового назначения, подсобных хозяйств и иных аналогичных служб, в организациях, осуществляющих свою деятельность вахтовым способом или работающих в полевых (экспедиционных) условиях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РасхСодПос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подготовку и освоение новых производств, цехов и агрегатов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РасхОсвПроизв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внедрением технологий производства, а также методов организации производства и управления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РасхВнедрТехн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Периодические (текущие) платежи за пользование правами на результаты интеллектуальной деятельности и правами на средства индивидуализации (в частности, правами, возникающими из патентов на изобретения, полезные модели, промышленные образцы)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ПериодПлатПрав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за регистрацию прав на недвижимое имущество и землю, сделок с указанными объектами, платежи за предоставление информации о зарегистрированных правах, оплата услуг уполномоченных органов и специализированных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по оценке имущества, изготовлению документов кадастрового и технического учета (инвентаризации) объектов недвижимости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ПлатРегНедв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договорам гражданско-правового характера (включая договоры подряда), заключенным с индивидуальными предпринимателями, не состоящими в штате организации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РасхДог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от несчастных случаев на производстве и профессиональных заболеваний, производимые в соответствии с законодательством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ВзнСоцСтрах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Потери от брака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содержанием помещений объектов общественного питания, обслуживающих трудовые коллективы (включая суммы начисленной амортизации, расходы на проведение ремонта помещений, расходы на освещение, отопление, водоснабжение, электроснабжение, а также на топливо для приготовления пищи), если подобные расходы не учитываются в соответствии со статьей 275.1 Налогового кодекса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РасхОбщПит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работодателя по выплате в соответствии с законодательством Российской Федерации пособия по временной нетрудоспособности, согласно подпункту 48.1 пункта 1 статьи 264 Налогового кодекса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РасхВыплПос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(взносы) работодателей по договорам добровольного личного страхования, согласно подпункту 48.2 пункта 1 статьи 264 Налогового кодекса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ПлатДобрСтрах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налогоплательщика, в пользу которого в установленном законодательством Российской Федерации порядке переходит право пользования участком недр, в виде компенсации расходов на освоение природных ресурсов, ранее осуществленных прежним владельцем лицензии на пользование этим участком недр в целях ее приобретения, в сумме фактических затрат налогоплательщика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РасхПрав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хранение и транспортировку (доставку) добытых на участке недр нефти и газового конденсата, осуществляемые до коммерческого узла (коммерческих узлов) учета углеводородного сырья, на котором (которых) в соответствии с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техническим проектом разработки месторождения производится передача добытого углеводородного сырья организациям, осуществляющим транспортировку (перевозку) нефти и газового конденсата по системе магистральных 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газопроводов, железнодорожным и автомобильным транспортом, морскими, речными судами или судами смешанного (река - море) плавания, либо реализация углеводородного сырья третьим лицам без сдачи третьим лицам для транспортировки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РасхХран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геолого-технические мероприятия, услуги по добыче и подъему углеводородного сырья, услуги геологии и геофизики, услуги по подготовке и доведению углеводородного сырья до качества, при котором такое сырье признается товаром в отношении налогоплательщика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РасхГео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4.20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Расходы, указанные в подпункте 10 пункта 3 статьи 333.47 Налогового кодекса Российской Федерации (Расх10.3.333.47)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указанные в подпункте 10 пункта 3 статьи 333.47 Налогового кодекса Российской Федерации всего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Расх10.3.333.47Вс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ликвидацию выводимых из эксплуатации основных средств, на списание нематериальных активов, включая суммы 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недоначисленной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установленным сроком полезного использования амортизации, а также расходы на ликвидацию объектов незавершенного строительства и иного имущества, монтаж которого не завершен (расходы на демонтаж, разборку, вывоз разобранного имущества), охрану недр и другие аналогичные работы, если иное не установлено статьей 267.4 Налогового кодекса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РасхЛикв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консервацией и 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расконсервацией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производственных мощностей и объектов, в том числе затраты на содержание законсервированных производственных мощностей и объектов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РасхКонс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операциям с тарой, если иное не предусмотрено положениями пункта 3 статьи 254 Налогового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кодекса Российской Федерации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РасхТара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работ по мобилизационной подготовке, включая затраты на содержание мощностей и объектов, необходимых для выполнения мобилизационного плана, за исключением расходов на приобретение, создание, реконструкцию, модернизацию, техническое перевооружение амортизируемого имущества, относящегося к мобилизационным мощностям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РасхМобПодг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Потери от стихийных бедствий, пожаров, аварий и других чрезвычайных ситуаций, включая затраты, связанные с предотвращением или ликвидацией последствий стихийных бедствий или чрезвычайных ситуаций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ПотерЧС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4.21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Расчетные расходы по добыче углеводородного сырья на участке недр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РасчРасхДоб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отчетного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ОтчетМес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Принимает значения в соответствии с приложением № 2 «Коды месяцев в отношении которых производится расчет» к Порядку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заполнения, а именно: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 – январь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– февраль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 – март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– апрель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– май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– июнь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– июль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– август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 – сентябрь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– октябрь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– ноябрь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– декабрь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Расчетные расходы по добыче углеводородного сырья на участке недр за месяц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РасчРасхМес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вывозная таможенная пошлина на нефть и газовый конденсат за месяц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РасчПошлМес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вывозной таможенной пошлины на нефть, за месяц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ЭПнефть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(в долларах США за тонну)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СтавПошлМес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значение за месяц курса доллара США к рублю Российской Федерации (Р)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СрЗначКурс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N(7.4)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добытой нефти за месяц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Vнефть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КолНефМес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добытого газового конденсата за месяц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Vгк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КолГазКондМес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расходы на транспортировку нефти и газового конденсата за месяц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РасчРасхТранс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Индикативный тариф на транспортировку нефти, для соответствующего района добычи нефти за месяц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Тингк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(в рублях на тонну)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ИндТарТранс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нефти и газового конденсата за месяц (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Vнк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КолДобНеф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4.22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Расходы, подлежащие восстановлению в отчетном (налоговом) периоде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РасхПодлВосст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Восстановленная сумма фактических расходов всего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ВосстСум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Восстановленная сумма фактических расходов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ВосстСумРасх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4.23 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4.23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Восстановленная сумма фактических расходов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ВосстСумРасх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основания восстановления фактических расходов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КодОснов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Принимает значения в соответствии с приложением № 2 «Коды оснований восстановления фактических расходов» к Порядку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заполнения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ОКОФ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ОКОФ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T(5-16)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Типовой элемент &lt;</w:t>
            </w:r>
            <w:proofErr w:type="spellStart"/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ОКОФТип</w:t>
            </w:r>
            <w:proofErr w:type="spellEnd"/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&gt;.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DE5">
              <w:rPr>
                <w:rFonts w:ascii="Times New Roman" w:hAnsi="Times New Roman" w:cs="Times New Roman"/>
                <w:sz w:val="24"/>
                <w:szCs w:val="24"/>
              </w:rPr>
              <w:t>Принимает значение в соответствии с Общероссийским классификатором основных фондов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Признак номера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ПрНом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кадастровый номер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условный номер   | </w:t>
            </w:r>
          </w:p>
          <w:p w:rsidR="00395630" w:rsidRPr="00456DE5" w:rsidRDefault="00395630" w:rsidP="00395630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идентификационный номер транспортного средства   | 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инвентарный номер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учтенных фактических расходов, подлежащих восстановлению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СумФактРасх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индексации убытка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КоэфУб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N(5.3)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Налоговый период (год), в котором признан фактический расход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НалПерРасх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proofErr w:type="gram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xs:gYear</w:t>
            </w:r>
            <w:proofErr w:type="spellEnd"/>
            <w:proofErr w:type="gram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 формате ГГГГ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Восстановленная сумма фактических расходов, с учетом коэффициента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ВосстСумКоэф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4.24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 суммы убытка или части убытка, уменьшающего налоговую базу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РасчСумУб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Остаток 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неперенесенного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убытка на начало налогового периода - всего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ОстНепУбВс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убытка или части убытка, уменьшающего налоговую базу за отчетный (налоговый) период, с учетом коэффициента индексации - всего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СумУбНалБазВс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Остаток 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неперенесенного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убытка на конец налогового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ОстНепУбКон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395630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Остаток 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неперенесенного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убытка на начало налогового периода, в том числе по годам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ОстУбНалПер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4.25 </w:t>
            </w:r>
          </w:p>
        </w:tc>
      </w:tr>
      <w:tr w:rsidR="001A0571" w:rsidRPr="00456DE5" w:rsidTr="00395630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Дополнительный доход за отчетный (налоговый) период</w:t>
            </w:r>
            <w:r w:rsidR="00395630"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|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ДопДохНалПер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39563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Убыток за налоговый период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39563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УбНалПер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39563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39563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39563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39563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убытка или части убытка, уменьшающего налоговую базу за отчетный (налоговый) период, с учетом коэффициента индексации, в том числе по годам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СумУбНалБаз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4.26 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4.25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Остаток 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неперенесенного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убытка на начало налогового периода, в том числе по годам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ОстУбНалПер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xs:gYear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 в формате ГГГГ.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значение от 2007 и более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Остаток 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неперенесенного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убытка за год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ОстУб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630" w:rsidRPr="00456DE5" w:rsidRDefault="00395630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4.26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 убытка или части убытка, уменьшающего налоговую базу за отчетный (налоговый) период, с учетом коэффициента индексации, в том числе по годам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СумУбНалБаз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xs:gYear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 в формате ГГГГ.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значение от 2007 и более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убытка или части убытка за год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4.27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 суммы исторического убытка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РасчСумИстУб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ретроспективного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ГодРетр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proofErr w:type="gram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xs:gYear</w:t>
            </w:r>
            <w:proofErr w:type="spellEnd"/>
            <w:proofErr w:type="gram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 формате ГГГГ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убытка на начало года ретроспективного периода - всего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СумУбНачРетрВс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выручка года ретроспективного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РасчВырРетр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 года ретроспективного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ФактРасхРетр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расходы года ретроспективного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РасчРасхРетр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Восстановленные фактические расходы года ретроспективного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ВосcтРасхРетр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убытка или части убытка, уменьшающего дополнительный доход года ретроспективного периода, с учетом коэффициента индексации - всего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СумУбРетрВс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Сумма убытка на конец года ретроспективного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СумУбКонРетр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395630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убытка на начало года ретроспективного периода, в том числе по годам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СумУбНачРетр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СумУбГод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Состав элемента представлен в таблице 4.29 </w:t>
            </w:r>
          </w:p>
        </w:tc>
      </w:tr>
      <w:tr w:rsidR="001A0571" w:rsidRPr="00456DE5" w:rsidTr="00395630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Дополнительный доход за год ретроспективного периода</w:t>
            </w:r>
            <w:r w:rsidR="00395630"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|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ДопДохРетрПер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39563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Убыток за год ретроспективного периода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39563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УбРетрПер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39563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39563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39563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убытка или части убытка, уменьшающего дополнительный доход года ретроспективного периода, с учетом коэффициента индексации, в том числе по годам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СумУбРетр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СумУбГод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Состав элемента представлен в таблице 4.29 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4.28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 минимального налога за отчетный (налоговый) период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РасчМинНал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выручка от добычи углеводородного сырья за отчетный (налоговый) период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РасчВырДоб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расходы от добычи углеводородного сырья за отчетный (налоговый) период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РасчРасхДоб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 от добычи углеводородного сырья в части сумм налогов за отчетный (налоговый) период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ФактРасхДоб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Предельные расходы на добычу углеводородного сырья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ПредРасхДоб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добытой нефти за отчетный (налоговый) период всего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ДобНефтГазВс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нефти и газового конденсата за отчетный (налоговый) период за январь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нефти и газового конденсата за отчетный (налоговый) период за февраль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нефти и газового конденсата за отчетный (налоговый) период за март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нефти и газового конденсата за отчетный (налоговый) период за апрель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&gt;, 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добытых нефти и газового конденсата за отчетный (налоговый) период за май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нефти и газового конденсата за отчетный (налоговый) период за июнь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нефти и газового конденсата за отчетный (налоговый) период за июль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нефти и газового конденсата за отчетный (налоговый) период за август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добытых нефти и газового конденсата за отчетный (налоговый) период за сентябрь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нефти и газового конденсата за отчетный (налоговый) период за октябрь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нефти и газового конденсата за отчетный (налоговый) период за ноябрь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добытых нефти и газового конденсата за отчетный (налоговый) период за декабрь (тонны)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ДобНефтГазДек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отсутствии  элементов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ДобНефтГазЯн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ДобНефтГазФев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ДобНефтГазАпр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ДобНефтГазМай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ДобНефтГазИюл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ДобНефтГазАвг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ДобНефтГазСен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ДобНефтГазОкт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&gt;,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ДобНефтГазНоя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удельных расходов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ЗначУдРасх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N(14.3)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налоговая база (в рублях)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МинНалБаз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Ставка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МинНал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4.29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 убытка по годам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СумУбГод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395630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xs:gYear</w:t>
            </w:r>
            <w:proofErr w:type="spellEnd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 в формате ГГГГ.</w:t>
            </w:r>
          </w:p>
          <w:p w:rsidR="00395630" w:rsidRPr="00456DE5" w:rsidRDefault="00395630" w:rsidP="0039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значение от 2007 и более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убытка за год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СумУб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N(15)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A0571" w:rsidRPr="00456DE5" w:rsidRDefault="001A0571" w:rsidP="001A0571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4.30</w:t>
      </w:r>
    </w:p>
    <w:p w:rsidR="001A0571" w:rsidRPr="00456DE5" w:rsidRDefault="001A0571" w:rsidP="001A0571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Фамилия, имя, отчество (</w:t>
      </w:r>
      <w:proofErr w:type="spellStart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ФИОТип</w:t>
      </w:r>
      <w:proofErr w:type="spellEnd"/>
      <w:r w:rsidRPr="00456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A0571" w:rsidRPr="00456DE5" w:rsidTr="001A0571">
        <w:trPr>
          <w:trHeight w:val="23"/>
          <w:tblHeader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456DE5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571" w:rsidRPr="001A0571" w:rsidTr="001A0571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456DE5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1A0571" w:rsidRDefault="001A0571" w:rsidP="001A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571" w:rsidRPr="001A0571" w:rsidRDefault="001A0571" w:rsidP="001A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F7816" w:rsidRPr="001A0571" w:rsidRDefault="001F7816" w:rsidP="001A0571">
      <w:pPr>
        <w:jc w:val="center"/>
        <w:rPr>
          <w:rFonts w:ascii="Times New Roman" w:hAnsi="Times New Roman" w:cs="Times New Roman"/>
        </w:rPr>
      </w:pPr>
    </w:p>
    <w:sectPr w:rsidR="001F7816" w:rsidRPr="001A0571" w:rsidSect="001A0571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3CA" w:rsidRDefault="00A313CA" w:rsidP="001A0571">
      <w:pPr>
        <w:spacing w:after="0" w:line="240" w:lineRule="auto"/>
      </w:pPr>
      <w:r>
        <w:separator/>
      </w:r>
    </w:p>
  </w:endnote>
  <w:endnote w:type="continuationSeparator" w:id="0">
    <w:p w:rsidR="00A313CA" w:rsidRDefault="00A313CA" w:rsidP="001A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3CA" w:rsidRDefault="00A313CA" w:rsidP="001A0571">
      <w:pPr>
        <w:spacing w:after="0" w:line="240" w:lineRule="auto"/>
      </w:pPr>
      <w:r>
        <w:separator/>
      </w:r>
    </w:p>
  </w:footnote>
  <w:footnote w:type="continuationSeparator" w:id="0">
    <w:p w:rsidR="00A313CA" w:rsidRDefault="00A313CA" w:rsidP="001A0571">
      <w:pPr>
        <w:spacing w:after="0" w:line="240" w:lineRule="auto"/>
      </w:pPr>
      <w:r>
        <w:continuationSeparator/>
      </w:r>
    </w:p>
  </w:footnote>
  <w:footnote w:id="1">
    <w:p w:rsidR="001A0571" w:rsidRPr="00F4592F" w:rsidRDefault="001A0571" w:rsidP="001A0571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1A0571" w:rsidRPr="00DC2B0F" w:rsidRDefault="001A0571" w:rsidP="001A0571">
      <w:pPr>
        <w:pStyle w:val="a5"/>
        <w:ind w:firstLine="180"/>
        <w:rPr>
          <w:sz w:val="8"/>
          <w:szCs w:val="8"/>
        </w:rPr>
      </w:pPr>
    </w:p>
  </w:footnote>
  <w:footnote w:id="2">
    <w:p w:rsidR="001A0571" w:rsidRPr="00DC2B0F" w:rsidRDefault="001A0571" w:rsidP="001A0571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>. Такая форма записи при</w:t>
      </w:r>
      <w:r>
        <w:rPr>
          <w:sz w:val="20"/>
          <w:szCs w:val="20"/>
        </w:rPr>
        <w:t>меняется при</w:t>
      </w:r>
      <w:r w:rsidRPr="00DC2B0F">
        <w:rPr>
          <w:sz w:val="20"/>
          <w:szCs w:val="20"/>
        </w:rPr>
        <w:t xml:space="preserve"> </w:t>
      </w:r>
      <w:r>
        <w:rPr>
          <w:sz w:val="20"/>
          <w:szCs w:val="20"/>
        </w:rPr>
        <w:t>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6FF"/>
    <w:rsid w:val="001851D2"/>
    <w:rsid w:val="001A0571"/>
    <w:rsid w:val="001F7816"/>
    <w:rsid w:val="00355EB8"/>
    <w:rsid w:val="00395630"/>
    <w:rsid w:val="00456DE5"/>
    <w:rsid w:val="00613539"/>
    <w:rsid w:val="00906B96"/>
    <w:rsid w:val="009A25B8"/>
    <w:rsid w:val="00A148E9"/>
    <w:rsid w:val="00A313CA"/>
    <w:rsid w:val="00A82F83"/>
    <w:rsid w:val="00B05F03"/>
    <w:rsid w:val="00C6797D"/>
    <w:rsid w:val="00D336FF"/>
    <w:rsid w:val="00FD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DC8276-D632-43A6-BE64-5F98DA1D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A0571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1A057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2"/>
    <w:link w:val="a5"/>
    <w:semiHidden/>
    <w:rsid w:val="001A05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1A0571"/>
    <w:rPr>
      <w:vertAlign w:val="superscript"/>
    </w:rPr>
  </w:style>
  <w:style w:type="paragraph" w:customStyle="1" w:styleId="1">
    <w:name w:val="Заголовок 1 (ф)"/>
    <w:basedOn w:val="a1"/>
    <w:rsid w:val="001A0571"/>
    <w:p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4">
    <w:name w:val="Заголовок 4 (ф)"/>
    <w:basedOn w:val="a1"/>
    <w:rsid w:val="001A0571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a8">
    <w:name w:val="Обычный (ф)"/>
    <w:basedOn w:val="a1"/>
    <w:link w:val="a9"/>
    <w:rsid w:val="001A057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ф) Знак Знак"/>
    <w:link w:val="a8"/>
    <w:rsid w:val="001A0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(ф) + 14 пт"/>
    <w:basedOn w:val="a8"/>
    <w:rsid w:val="001A0571"/>
    <w:pPr>
      <w:ind w:left="360" w:firstLine="0"/>
      <w:jc w:val="center"/>
    </w:pPr>
    <w:rPr>
      <w:sz w:val="28"/>
      <w:szCs w:val="20"/>
    </w:rPr>
  </w:style>
  <w:style w:type="paragraph" w:customStyle="1" w:styleId="a0">
    <w:name w:val="курсив (ф)"/>
    <w:basedOn w:val="a1"/>
    <w:link w:val="aa"/>
    <w:rsid w:val="001A0571"/>
    <w:pPr>
      <w:numPr>
        <w:numId w:val="2"/>
      </w:numPr>
      <w:spacing w:after="0" w:line="240" w:lineRule="auto"/>
      <w:ind w:left="362" w:hanging="181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a">
    <w:name w:val="курсив (ф) Знак Знак"/>
    <w:link w:val="a0"/>
    <w:rsid w:val="001A0571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1A057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ростой"/>
    <w:basedOn w:val="a1"/>
    <w:rsid w:val="001A057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1"/>
    <w:link w:val="ad"/>
    <w:rsid w:val="001A0571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1A0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Обычный_по_ширине"/>
    <w:basedOn w:val="a1"/>
    <w:rsid w:val="001A057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2992A-DA78-4218-A6EF-EE2BC0F2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6961</Words>
  <Characters>39682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Голышева Людмила Валерьевна</cp:lastModifiedBy>
  <cp:revision>2</cp:revision>
  <dcterms:created xsi:type="dcterms:W3CDTF">2018-12-20T08:18:00Z</dcterms:created>
  <dcterms:modified xsi:type="dcterms:W3CDTF">2018-12-20T08:18:00Z</dcterms:modified>
</cp:coreProperties>
</file>